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 (2M)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- 979/2/2020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część 2".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wiedzy o społeczeństwie dla liceum ogólnokształcącego i technikum.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Arkadiusz Janicki, Lucyna Czechowska - Wydawnictwo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1034/2/2020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2 i Klasa 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Salach, J. Kreiner - Wydawnictwo:  WSiP - 975/2/2020 i 975/3/2021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2 i 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2A5bqIsHw2NYodUJDbm2mkjPnw==">AMUW2mVMPjQC4yGBI7Lr2bxp43rdqSCGBhaN2a0sbOFzEYUR0ydQxlTwG1eSkcRvhdn90M+G9koKdlOunp6iQoDJb+AZLAlqDNwmC8yOGqyxb8P9lPzpojQ=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