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społeczno-administracyjnym (3S)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rosyjski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"Kak raz 3"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Olga Tatarchyk - Wydawnictwo  WSiP - 966/3/2021 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Marcin Świtoniak, Teresa Wieczorek, Roman Malarz, Tomasz Karasiewicz, Marek Więckowski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1JuRGnsNnpaPOsTssK+2VydSA==">AMUW2mXekcSAnhro/97+rqj2ZnTLFAF5yIE77L/kITV5YPVb1HCtIe1Cw4BoKpqrbHHDKYgrPhDzXgmp5FIOrrvWpffrtOcrE6DGJzZEMo7MIBTcWpfLl38=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