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CZWARTEJ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 (4B)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1980"/>
        <w:gridCol w:w="10395"/>
        <w:tblGridChange w:id="0">
          <w:tblGrid>
            <w:gridCol w:w="184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4.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Joanna Kościerzyńska, Anna Cisowska,  Aleksandra Wróblewska, Małgorzata Matecka, Joanna Baczyńska-Wybrańska, Joanna Ginter - Wyd. Nowa Era - 1014/7/20222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New Password B2+/C1”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 Marta Rosińska Lynda Edwards; Wyd. Macmillan - 1131/4/2022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“Password Reset B2+”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Edwards; wyd. Macmillan -954/4/2020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podręcznik do szkół ponadpodstawowych”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Marta Rosińska Lynda Evans; wyd. Macmillan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sz w:val="22"/>
                <w:szCs w:val="22"/>
                <w:highlight w:val="white"/>
                <w:rtl w:val="0"/>
              </w:rPr>
              <w:t xml:space="preserve">“Repetytorium język angielski poziom rozszerzony”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  <w:rtl w:val="0"/>
              </w:rPr>
              <w:t xml:space="preserve">; Cathy Dobb, Ken Lackman, Jenny Dooley; Wyd. Express Publishing - 1149/2/2022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color w:val="1a1a1a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E. Kalinowska, M. Sowa - Wyd. Draco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989/2/2019 (kontynuacja)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E. Kalinowska, M. Sowa - Wyd. Draco 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972/4/2022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4.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4"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Jarosław Kłaczkow, Stanisław Roszak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Nowa Era - 1021/4/2022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4".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Franciszek Dubert, Marek Jurgowiak, Władysław Zamachowski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Wyd. Nowa Era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1010/4/2022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ogólnokształcącego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- 991/2/2020 (kontynuacja)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tabs>
                <w:tab w:val="left" w:pos="5964"/>
              </w:tabs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“Świadczę o Jezusie w rodzinie”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ks. Robert Strus, ks. Wiesław Galant - Wydawnictwo Archidiecezji Lubelskiej Gaudium AZ-43-01/10-LU-3/14 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oCusT+VvrHGkUmTaNoIcfkRbQ==">AMUW2mWvFYdnKTeF6nwzunD3RBQqMNu7hbc3ADfuQDH6+CYQ3v8otS0fWStLTSEfhu+bswYzE1bk4xwEstF05ZspKTNZQM/Hka6V+xYxyyHqmwg7Tejizdk=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