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3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Technikum Zawodowego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na rok szkolny 2022/2023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5"/>
        <w:gridCol w:w="13125"/>
        <w:tblGridChange w:id="0">
          <w:tblGrid>
            <w:gridCol w:w="2145"/>
            <w:gridCol w:w="13125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cantSplit w:val="0"/>
          <w:trHeight w:val="18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Podręcznik do języka polskiego dla liceum ogólnokształcącego i technikum dla klasy 3,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1: Młoda Polska oraz część 2: Dwudziestolecie międzywojenne, literatura wojny i okupacji.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Joanna Kościerzyńska, Anna Cisowska,  Aleksandra Wróblewska, Małgorzata Matecka, Anna Równy, Joanna Ginter - Wyd. Nowa Era - 1014/5/2021 i 1014/6/2021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B2”;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Manin;  Wyd. Macmillan 1131/3/2022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Manin; Wyd. Macmillan 954/3/2019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942/3/2020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Niklewska - Wydawnictwo Pearson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3.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979/3/2021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3.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Podręcznik. Liceum i technikum. Klasa 1. Zakres podstawowy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- L. Lehman, W. Polesiuk, G. Wojewoda - Wyd. WSiP - 999/1/2019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Podręcznik. Liceum i technikum. Klasa 2. Zakres podstawowy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- L. Lehman, W. Polesiuk, G. Wojewoda - Wyd. WSiP - 999/2/2020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2.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Maciej Borowiecki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Nowa Era - 1037/2/2020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1"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Marciniuk Tomasz, Wydawnictwo WSiP, rok wydania 2019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2"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3"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“Tworzenie stron i aplikacji internetowych oraz baz danych i administrowanie nimi. Kwalifikacja INF.03. Część 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Tomasz Klekot, Agnieszka Klekot; Wyd. WSiP 2020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“Tworzenie stron i aplikacji internetowych oraz baz danych i administrowanie nimi. Kwalifikacja INF.03. Część 2”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 Tomasz Klekot, Agnieszka Klekot; Wyd. WSiP 2020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KgX/YpsdVRMH/jphtYi/jVRdw==">AMUW2mXT1S6EKzHxtJw5da4mXHJyocr3M89Xrim8gAtYvnUoENe+pzoaGUk+thbBHDI8Wnz/hHW06jHBvCrYK3ubmUwlENDuO9mkN2qznSZQqj8uTiD32D4=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