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979/3/2021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2024, nowość.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 i Klasa 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- Wydawnictwo:  WSiP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975/3/2021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 i Klasa 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A. Bożek, K. Nessing, J. Salach  - Wydawnictwo WSiP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zFClCwKGohVESBd9l2k0k5k1Q==">CgMxLjA4AHIhMWtFYmRFWmY4SHBseTkzYUZoTzFFX2QxZmlILWNZMUxD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