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 2M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Impulse B1+”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highlight w:val="white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Catherine McBeth, Patricia Reilly, Joanna Sobierska-Paczesny - wyd. Macmillan - 1129/3/2021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- 979/2/2020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Edycja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Łaszkiewicz, A. Niewęgłowska, S. Roszak - Wydawnictwo Nowa Era - 1150/2/2023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obywatelska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“Masz wpływ 1”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Sławomir Drelich, Michał Tragarz, Sylwia Żmijewska-Kwiręg, Mateusz Wojcieszak, Rafał Flis - Wydawnictwo Nowa Era -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dla liceum ogólnokształcącego i technikum. Zakres podstawowy. Nowość Edycja 2024 - Romuald Hassa, Aleksandra Mrzigod, Janusz Mrzigod - Wyd. Nowa Era - 1222/2/2025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.72070312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2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Salach, J. Kreiner - Wydawnictwo:  WSiP - 975/2/2023/z1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2 - 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Bożek, K. Nessing, J. Salach  - Wydawnictwo WSiP 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WqldAh38GOYGmBEBqSPyGy4EA==">CgMxLjA4AHIhMVdndEdBOTVUR3ZTSFd3d25uWE5pSkFLelFlZGZwN25Y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